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80170">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2510676</w:t>
      </w:r>
    </w:p>
    <w:p w14:paraId="1602BCFE">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15109044">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520E1358">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731CE935">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14:paraId="1B84DD2C">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7.14.3.2</w:t>
      </w:r>
    </w:p>
    <w:p w14:paraId="526F5317">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69BCE84B">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28ADBB7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During last RAN4 meeting, good progress </w:t>
      </w:r>
      <w:bookmarkStart w:id="0" w:name="_GoBack"/>
      <w:bookmarkEnd w:id="0"/>
      <w:r>
        <w:rPr>
          <w:rFonts w:hint="eastAsia" w:cs="Arial"/>
          <w:lang w:val="en-US" w:eastAsia="zh-CN"/>
        </w:rPr>
        <w:t>were achieved around the CSSF enhancement and the following progress were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E27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F9BF243">
            <w:pPr>
              <w:rPr>
                <w:b/>
                <w:color w:val="0070C0"/>
                <w:u w:val="single"/>
                <w:lang w:eastAsia="ko-KR"/>
              </w:rPr>
            </w:pPr>
            <w:r>
              <w:rPr>
                <w:b/>
                <w:color w:val="0070C0"/>
                <w:u w:val="single"/>
                <w:lang w:eastAsia="ko-KR"/>
              </w:rPr>
              <w:t>Issue 1-2-1: detailed design for solution 3 (by-default option 3 vs. need network indication for specific SCC)</w:t>
            </w:r>
          </w:p>
          <w:p w14:paraId="71428E96">
            <w:pPr>
              <w:snapToGrid w:val="0"/>
              <w:spacing w:after="120"/>
              <w:rPr>
                <w:rFonts w:eastAsia="宋体"/>
              </w:rPr>
            </w:pPr>
            <w:r>
              <w:rPr>
                <w:rFonts w:hint="eastAsia" w:eastAsia="宋体"/>
                <w:highlight w:val="green"/>
              </w:rPr>
              <w:t>A</w:t>
            </w:r>
            <w:r>
              <w:rPr>
                <w:rFonts w:eastAsia="宋体"/>
                <w:highlight w:val="green"/>
              </w:rPr>
              <w:t>greement</w:t>
            </w:r>
            <w:r>
              <w:rPr>
                <w:rFonts w:eastAsia="宋体"/>
              </w:rPr>
              <w:t>:</w:t>
            </w:r>
          </w:p>
          <w:p w14:paraId="2164FD4A">
            <w:pPr>
              <w:pStyle w:val="29"/>
              <w:numPr>
                <w:ilvl w:val="0"/>
                <w:numId w:val="4"/>
              </w:numPr>
              <w:overflowPunct/>
              <w:autoSpaceDE/>
              <w:autoSpaceDN/>
              <w:adjustRightInd/>
              <w:snapToGrid w:val="0"/>
              <w:spacing w:after="120"/>
              <w:ind w:left="936" w:leftChars="0" w:hanging="360" w:firstLineChars="0"/>
              <w:textAlignment w:val="auto"/>
              <w:rPr>
                <w:rFonts w:eastAsia="宋体"/>
                <w:iCs/>
              </w:rPr>
            </w:pPr>
            <w:r>
              <w:rPr>
                <w:rFonts w:eastAsia="宋体"/>
              </w:rPr>
              <w:t>For 3 searcher scenario, on top of keeping the legacy two (the first and the second) searchers sharing rule, the 3rd searcher resource sharing is same as the second searcher sharing.</w:t>
            </w:r>
          </w:p>
          <w:p w14:paraId="1C0321EF">
            <w:pPr>
              <w:rPr>
                <w:b/>
                <w:color w:val="0070C0"/>
                <w:u w:val="single"/>
                <w:lang w:eastAsia="ko-KR"/>
              </w:rPr>
            </w:pPr>
            <w:r>
              <w:rPr>
                <w:b/>
                <w:color w:val="0070C0"/>
                <w:u w:val="single"/>
                <w:lang w:eastAsia="ko-KR"/>
              </w:rPr>
              <w:t>Issue 1-2-2: applicability limitation for solution 3</w:t>
            </w:r>
          </w:p>
          <w:p w14:paraId="396ED78F">
            <w:pPr>
              <w:snapToGrid w:val="0"/>
              <w:spacing w:after="120"/>
            </w:pPr>
            <w:r>
              <w:rPr>
                <w:rFonts w:hint="eastAsia"/>
                <w:highlight w:val="green"/>
              </w:rPr>
              <w:t>A</w:t>
            </w:r>
            <w:r>
              <w:rPr>
                <w:highlight w:val="green"/>
              </w:rPr>
              <w:t>greement</w:t>
            </w:r>
            <w:r>
              <w:t>:</w:t>
            </w:r>
          </w:p>
          <w:p w14:paraId="6C504A5C">
            <w:pPr>
              <w:pStyle w:val="29"/>
              <w:numPr>
                <w:ilvl w:val="1"/>
                <w:numId w:val="5"/>
              </w:numPr>
              <w:snapToGrid w:val="0"/>
              <w:spacing w:after="120"/>
              <w:ind w:firstLineChars="0"/>
              <w:rPr>
                <w:rFonts w:eastAsia="宋体"/>
              </w:rPr>
            </w:pPr>
            <w:r>
              <w:rPr>
                <w:rFonts w:eastAsia="宋体"/>
              </w:rPr>
              <w:t xml:space="preserve">For UE supporting both per-FR measurement gap and new 3-searcher capability, </w:t>
            </w:r>
          </w:p>
          <w:p w14:paraId="5F419B37">
            <w:pPr>
              <w:pStyle w:val="29"/>
              <w:numPr>
                <w:ilvl w:val="2"/>
                <w:numId w:val="5"/>
              </w:numPr>
              <w:snapToGrid w:val="0"/>
              <w:spacing w:after="120"/>
              <w:ind w:firstLineChars="0"/>
              <w:rPr>
                <w:rFonts w:eastAsia="宋体"/>
              </w:rPr>
            </w:pPr>
            <w:r>
              <w:rPr>
                <w:rFonts w:eastAsia="宋体"/>
              </w:rPr>
              <w:t xml:space="preserve">If network configures per-FR measurement gap, UE will use legacy requirement (i.e., 2-searcher requirement) when </w:t>
            </w:r>
            <w:r>
              <w:rPr>
                <w:rFonts w:hint="eastAsia" w:eastAsia="宋体"/>
                <w:u w:val="single"/>
              </w:rPr>
              <w:t>a</w:t>
            </w:r>
            <w:r>
              <w:rPr>
                <w:rFonts w:eastAsia="宋体"/>
                <w:u w:val="single"/>
              </w:rPr>
              <w:t>t least one SMTC occasion</w:t>
            </w:r>
            <w:r>
              <w:rPr>
                <w:rFonts w:eastAsia="宋体"/>
              </w:rPr>
              <w:t xml:space="preserve"> of outside gap measurement object</w:t>
            </w:r>
            <w:r>
              <w:rPr>
                <w:rFonts w:eastAsia="宋体"/>
                <w:u w:val="single"/>
              </w:rPr>
              <w:t>s</w:t>
            </w:r>
            <w:r>
              <w:rPr>
                <w:rFonts w:eastAsia="宋体"/>
              </w:rPr>
              <w:t xml:space="preserve"> in one FR are overlapped by per-FR measurement GAP in another FR. Otherwise, the 3-searcher requirement applies.</w:t>
            </w:r>
          </w:p>
          <w:p w14:paraId="72EC671E">
            <w:pPr>
              <w:pStyle w:val="29"/>
              <w:numPr>
                <w:ilvl w:val="1"/>
                <w:numId w:val="5"/>
              </w:numPr>
              <w:snapToGrid w:val="0"/>
              <w:spacing w:after="120"/>
              <w:ind w:firstLineChars="0"/>
              <w:rPr>
                <w:rFonts w:eastAsia="宋体"/>
              </w:rPr>
            </w:pPr>
            <w:r>
              <w:rPr>
                <w:rFonts w:hint="eastAsia" w:eastAsia="宋体"/>
              </w:rPr>
              <w:t>F</w:t>
            </w:r>
            <w:r>
              <w:rPr>
                <w:rFonts w:eastAsia="宋体"/>
              </w:rPr>
              <w:t>or UE supporting new 3-searcher capability,</w:t>
            </w:r>
          </w:p>
          <w:p w14:paraId="723CD771">
            <w:pPr>
              <w:pStyle w:val="29"/>
              <w:numPr>
                <w:ilvl w:val="2"/>
                <w:numId w:val="5"/>
              </w:numPr>
              <w:snapToGrid w:val="0"/>
              <w:spacing w:after="120"/>
              <w:ind w:firstLineChars="0"/>
              <w:rPr>
                <w:rFonts w:eastAsia="宋体"/>
              </w:rPr>
            </w:pPr>
            <w:r>
              <w:rPr>
                <w:rFonts w:eastAsia="宋体"/>
              </w:rPr>
              <w:t>If network configures per-UE measurement gap and does not configure per-FR measurement gap, the 3-searcher requirement always applies.</w:t>
            </w:r>
          </w:p>
          <w:p w14:paraId="5D18BDFC">
            <w:r>
              <w:rPr>
                <w:b/>
                <w:color w:val="0070C0"/>
                <w:u w:val="single"/>
                <w:lang w:eastAsia="ko-KR"/>
              </w:rPr>
              <w:t>Issue 1-3-1: UE capability for CSSF enhancement option 1 (measure one carrier per band)</w:t>
            </w:r>
          </w:p>
          <w:p w14:paraId="4BA9BD89">
            <w:pPr>
              <w:snapToGrid w:val="0"/>
              <w:spacing w:after="120"/>
              <w:rPr>
                <w:rFonts w:eastAsia="宋体"/>
              </w:rPr>
            </w:pPr>
            <w:r>
              <w:rPr>
                <w:rFonts w:eastAsia="宋体"/>
                <w:highlight w:val="green"/>
              </w:rPr>
              <w:t>Agreement</w:t>
            </w:r>
            <w:r>
              <w:rPr>
                <w:rFonts w:eastAsia="宋体"/>
              </w:rPr>
              <w:t>:</w:t>
            </w:r>
          </w:p>
          <w:p w14:paraId="49D91E50">
            <w:pPr>
              <w:pStyle w:val="29"/>
              <w:numPr>
                <w:ilvl w:val="1"/>
                <w:numId w:val="5"/>
              </w:numPr>
              <w:snapToGrid w:val="0"/>
              <w:spacing w:after="120"/>
              <w:ind w:firstLineChars="0"/>
              <w:rPr>
                <w:rFonts w:eastAsia="宋体"/>
              </w:rPr>
            </w:pPr>
            <w:r>
              <w:rPr>
                <w:rFonts w:eastAsia="宋体"/>
              </w:rPr>
              <w:t>For CSSF enhancement solution 1 in Rel-19</w:t>
            </w:r>
            <w:r>
              <w:rPr>
                <w:rFonts w:hint="eastAsia" w:eastAsia="宋体"/>
              </w:rPr>
              <w:t>,</w:t>
            </w:r>
            <w:r>
              <w:rPr>
                <w:rFonts w:eastAsia="宋体"/>
              </w:rPr>
              <w:t xml:space="preserve"> a new optional per-UE capability, apply for FR2-1 only.</w:t>
            </w:r>
          </w:p>
          <w:p w14:paraId="3C4D3987">
            <w:pPr>
              <w:snapToGrid w:val="0"/>
              <w:spacing w:after="120"/>
              <w:rPr>
                <w:rFonts w:hint="eastAsia" w:cs="Arial"/>
                <w:vertAlign w:val="baseline"/>
                <w:lang w:val="en-US" w:eastAsia="zh-CN"/>
              </w:rPr>
            </w:pPr>
            <w:r>
              <w:rPr>
                <w:rFonts w:ascii="Calibri" w:hAnsi="Calibri" w:eastAsia="宋体" w:cs="Times New Roman"/>
                <w:kern w:val="2"/>
                <w:sz w:val="21"/>
                <w:szCs w:val="22"/>
                <w:lang w:val="en-US" w:eastAsia="zh-CN" w:bidi="ar-SA"/>
              </w:rPr>
              <w:t>Note: the UE capability can be revisited if this feature is expanded to FR1 case.</w:t>
            </w:r>
          </w:p>
        </w:tc>
      </w:tr>
    </w:tbl>
    <w:p w14:paraId="03C63B0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remaining issues of CSSF enhancement. </w:t>
      </w:r>
    </w:p>
    <w:p w14:paraId="356B5E43">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7135FD1B">
      <w:pPr>
        <w:pStyle w:val="9"/>
        <w:bidi w:val="0"/>
        <w:rPr>
          <w:rFonts w:hint="eastAsia"/>
          <w:lang w:val="en-US" w:eastAsia="zh-CN"/>
        </w:rPr>
      </w:pPr>
      <w:r>
        <w:rPr>
          <w:rFonts w:hint="eastAsia"/>
          <w:lang w:val="en-US" w:eastAsia="zh-CN"/>
        </w:rPr>
        <w:t>Regarding this sub topic, we share our views from the following aspects:</w:t>
      </w:r>
    </w:p>
    <w:p w14:paraId="1B005C67">
      <w:pPr>
        <w:numPr>
          <w:ilvl w:val="0"/>
          <w:numId w:val="6"/>
        </w:numPr>
        <w:ind w:left="420" w:leftChars="0" w:hanging="420" w:firstLineChars="0"/>
        <w:rPr>
          <w:rFonts w:hint="default"/>
          <w:lang w:val="en-US" w:eastAsia="zh-CN"/>
        </w:rPr>
      </w:pPr>
      <w:r>
        <w:rPr>
          <w:rFonts w:hint="eastAsia"/>
          <w:lang w:val="en-US" w:eastAsia="zh-CN"/>
        </w:rPr>
        <w:t>Whether and how to revise solution 1</w:t>
      </w:r>
    </w:p>
    <w:p w14:paraId="268D4D86">
      <w:pPr>
        <w:numPr>
          <w:ilvl w:val="0"/>
          <w:numId w:val="6"/>
        </w:numPr>
        <w:ind w:left="420" w:leftChars="0" w:hanging="420" w:firstLineChars="0"/>
        <w:rPr>
          <w:rFonts w:hint="default"/>
          <w:lang w:val="en-US" w:eastAsia="zh-CN"/>
        </w:rPr>
      </w:pPr>
      <w:r>
        <w:rPr>
          <w:rFonts w:hint="eastAsia"/>
          <w:lang w:val="en-US" w:eastAsia="zh-CN"/>
        </w:rPr>
        <w:t>Expand solution 1 to FR1 case</w:t>
      </w:r>
    </w:p>
    <w:p w14:paraId="564BA44F">
      <w:pPr>
        <w:numPr>
          <w:ilvl w:val="0"/>
          <w:numId w:val="6"/>
        </w:numPr>
        <w:ind w:left="420" w:leftChars="0" w:hanging="420" w:firstLineChars="0"/>
        <w:rPr>
          <w:rFonts w:hint="default"/>
          <w:lang w:val="en-US" w:eastAsia="zh-CN"/>
        </w:rPr>
      </w:pPr>
      <w:r>
        <w:rPr>
          <w:rFonts w:hint="eastAsia"/>
          <w:lang w:val="en-US" w:eastAsia="zh-CN"/>
        </w:rPr>
        <w:t>Detailed design for solution 3</w:t>
      </w:r>
    </w:p>
    <w:p w14:paraId="5CA2EF95">
      <w:pPr>
        <w:numPr>
          <w:ilvl w:val="0"/>
          <w:numId w:val="0"/>
        </w:numPr>
        <w:ind w:leftChars="0"/>
        <w:rPr>
          <w:rFonts w:hint="default"/>
          <w:lang w:val="en-US" w:eastAsia="zh-CN"/>
        </w:rPr>
      </w:pPr>
    </w:p>
    <w:p w14:paraId="234AD265">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Whether and how to revise solution 1</w:t>
      </w:r>
    </w:p>
    <w:p w14:paraId="0F08AAF5">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In last meeting, some company proposed revision on the approved solution 1 in 114 meeting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100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993A030">
            <w:pPr>
              <w:pStyle w:val="29"/>
              <w:numPr>
                <w:ilvl w:val="0"/>
                <w:numId w:val="4"/>
              </w:numPr>
              <w:overflowPunct/>
              <w:autoSpaceDE/>
              <w:autoSpaceDN/>
              <w:adjustRightInd/>
              <w:spacing w:after="120"/>
              <w:ind w:firstLineChars="0"/>
              <w:textAlignment w:val="auto"/>
              <w:rPr>
                <w:rFonts w:eastAsia="宋体"/>
              </w:rPr>
            </w:pPr>
            <w:r>
              <w:rPr>
                <w:rFonts w:hint="eastAsia" w:eastAsia="宋体"/>
              </w:rPr>
              <w:t>P</w:t>
            </w:r>
            <w:r>
              <w:rPr>
                <w:rFonts w:eastAsia="宋体"/>
              </w:rPr>
              <w:t>roposal 1: For solution 1, remove the sub-case and update the agreements as follows:</w:t>
            </w:r>
          </w:p>
          <w:p w14:paraId="11E2930F">
            <w:pPr>
              <w:numPr>
                <w:ilvl w:val="1"/>
                <w:numId w:val="4"/>
              </w:numPr>
              <w:snapToGrid w:val="0"/>
              <w:spacing w:after="120"/>
              <w:rPr>
                <w:rFonts w:eastAsia="宋体"/>
                <w:iCs/>
              </w:rPr>
            </w:pPr>
            <w:r>
              <w:rPr>
                <w:rFonts w:eastAsia="宋体"/>
                <w:iCs/>
              </w:rPr>
              <w:t>Follow the network indication to measure a SCC, if</w:t>
            </w:r>
          </w:p>
          <w:p w14:paraId="6B97DBA1">
            <w:pPr>
              <w:numPr>
                <w:ilvl w:val="2"/>
                <w:numId w:val="4"/>
              </w:numPr>
              <w:suppressAutoHyphens/>
              <w:snapToGrid w:val="0"/>
              <w:spacing w:after="120"/>
              <w:rPr>
                <w:rFonts w:eastAsia="宋体"/>
                <w:iCs/>
              </w:rPr>
            </w:pPr>
            <w:r>
              <w:rPr>
                <w:rFonts w:eastAsia="宋体"/>
                <w:iCs/>
              </w:rPr>
              <w:t>neither PCC nor PSCC is in band, and</w:t>
            </w:r>
          </w:p>
          <w:p w14:paraId="2222D509">
            <w:pPr>
              <w:numPr>
                <w:ilvl w:val="2"/>
                <w:numId w:val="4"/>
              </w:numPr>
              <w:suppressAutoHyphens/>
              <w:snapToGrid w:val="0"/>
              <w:spacing w:after="120"/>
              <w:rPr>
                <w:rFonts w:eastAsia="宋体"/>
                <w:iCs/>
                <w:strike/>
                <w:color w:val="FF0000"/>
              </w:rPr>
            </w:pPr>
            <w:r>
              <w:rPr>
                <w:rFonts w:eastAsia="宋体"/>
                <w:iCs/>
                <w:strike/>
                <w:color w:val="FF0000"/>
              </w:rPr>
              <w:t>if there is no SCCs on which UE is configured to report SSB based measurements in band, or</w:t>
            </w:r>
          </w:p>
          <w:p w14:paraId="1461D7AE">
            <w:pPr>
              <w:numPr>
                <w:ilvl w:val="2"/>
                <w:numId w:val="4"/>
              </w:numPr>
              <w:suppressAutoHyphens/>
              <w:snapToGrid w:val="0"/>
              <w:spacing w:after="120"/>
              <w:rPr>
                <w:rFonts w:eastAsia="宋体"/>
                <w:iCs/>
              </w:rPr>
            </w:pPr>
            <w:r>
              <w:rPr>
                <w:rFonts w:eastAsia="宋体"/>
                <w:iCs/>
              </w:rPr>
              <w:t>if there are multiple SCCs on which UE is configured to report SSB based measurements in band.</w:t>
            </w:r>
          </w:p>
          <w:p w14:paraId="002CC719">
            <w:pPr>
              <w:numPr>
                <w:ilvl w:val="2"/>
                <w:numId w:val="4"/>
              </w:numPr>
              <w:suppressAutoHyphens/>
              <w:snapToGrid w:val="0"/>
              <w:spacing w:after="120"/>
              <w:rPr>
                <w:rFonts w:eastAsia="宋体"/>
                <w:iCs/>
              </w:rPr>
            </w:pPr>
            <w:r>
              <w:rPr>
                <w:rFonts w:eastAsia="宋体"/>
                <w:iCs/>
              </w:rPr>
              <w:t>Network indication of a specific SCC per-band for measurement.</w:t>
            </w:r>
          </w:p>
          <w:p w14:paraId="49CC15C3">
            <w:pPr>
              <w:numPr>
                <w:ilvl w:val="3"/>
                <w:numId w:val="4"/>
              </w:numPr>
              <w:suppressAutoHyphens/>
              <w:snapToGrid w:val="0"/>
              <w:spacing w:after="120"/>
              <w:rPr>
                <w:rFonts w:eastAsia="宋体"/>
                <w:iCs/>
              </w:rPr>
            </w:pPr>
            <w:r>
              <w:rPr>
                <w:rFonts w:eastAsia="宋体"/>
                <w:iCs/>
              </w:rPr>
              <w:t>if network indicates which of the SCC to be measured in a band, UE will perform both serving and neighbour cell measurements on the indicated SCC in a band.</w:t>
            </w:r>
          </w:p>
          <w:p w14:paraId="63353893">
            <w:pPr>
              <w:numPr>
                <w:ilvl w:val="1"/>
                <w:numId w:val="4"/>
              </w:numPr>
              <w:snapToGrid w:val="0"/>
              <w:spacing w:after="120"/>
              <w:rPr>
                <w:rFonts w:eastAsia="宋体"/>
                <w:iCs/>
              </w:rPr>
            </w:pPr>
            <w:r>
              <w:rPr>
                <w:rFonts w:hint="eastAsia" w:eastAsia="宋体"/>
                <w:iCs/>
              </w:rPr>
              <w:t>O</w:t>
            </w:r>
            <w:r>
              <w:rPr>
                <w:rFonts w:eastAsia="宋体"/>
                <w:iCs/>
              </w:rPr>
              <w:t xml:space="preserve">therwise, </w:t>
            </w:r>
            <w:r>
              <w:rPr>
                <w:iCs/>
              </w:rPr>
              <w:t>UE will perform serving and neighbor cell measurements on one SCC per band, which SCC to measure is up to UE implementation.</w:t>
            </w:r>
          </w:p>
          <w:p w14:paraId="3862F19A">
            <w:pPr>
              <w:pStyle w:val="29"/>
              <w:numPr>
                <w:ilvl w:val="0"/>
                <w:numId w:val="4"/>
              </w:numPr>
              <w:overflowPunct/>
              <w:autoSpaceDE/>
              <w:autoSpaceDN/>
              <w:adjustRightInd/>
              <w:spacing w:after="120"/>
              <w:ind w:firstLineChars="0"/>
              <w:textAlignment w:val="auto"/>
              <w:rPr>
                <w:rFonts w:hint="default"/>
                <w:vertAlign w:val="baseline"/>
                <w:lang w:val="en-US" w:eastAsia="zh-CN"/>
              </w:rPr>
            </w:pPr>
            <w:r>
              <w:rPr>
                <w:rFonts w:eastAsia="宋体"/>
              </w:rPr>
              <w:t>Proposal 2: RAN4 to discuss the potential revision on network indication requests of solution 1, and if agreed, send LS to RAN2 for update.</w:t>
            </w:r>
          </w:p>
        </w:tc>
      </w:tr>
    </w:tbl>
    <w:p w14:paraId="36AE2BC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Based on our previous agreements, actually the priority order is PCC/PSCC &gt; SCC configured with SSB based reporting &gt; SCC not configured with SSB based reporting. UE follows such priority order to determine one SCC to measure both serving cell and neighbour cell per band if no interested SCC is configured by NW; otherwise, the interested SCC is to be measured including both serving cell and neighbour cell in this band. </w:t>
      </w:r>
    </w:p>
    <w:p w14:paraId="6E3A17CD">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But during last meeting, we received some RAN2 feedback regarding the signaling design of the NW indication, and RAN2 approved one LS to RAN4 to clarify current RAN2 status in [2]. In this RAN2 LS, it  clearly shows that the Alternative 2 is the majority view in RAN2 but unfortunately no final consensus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57EC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C10A640">
            <w:pPr>
              <w:pStyle w:val="9"/>
              <w:numPr>
                <w:ilvl w:val="0"/>
                <w:numId w:val="7"/>
              </w:numPr>
              <w:rPr>
                <w:rFonts w:eastAsia="宋体" w:cs="Arial"/>
              </w:rPr>
            </w:pPr>
            <w:r>
              <w:rPr>
                <w:rFonts w:eastAsia="宋体" w:cs="Arial"/>
              </w:rPr>
              <w:t>Alternative 1: Introduce new RRC configuration to indicate which SCC to be measured.</w:t>
            </w:r>
          </w:p>
          <w:p w14:paraId="531E074B">
            <w:pPr>
              <w:pStyle w:val="9"/>
              <w:numPr>
                <w:ilvl w:val="1"/>
                <w:numId w:val="7"/>
              </w:numPr>
              <w:rPr>
                <w:rFonts w:eastAsia="宋体" w:cs="Arial"/>
              </w:rPr>
            </w:pPr>
            <w:r>
              <w:rPr>
                <w:rFonts w:eastAsia="宋体" w:cs="Arial"/>
              </w:rPr>
              <w:t xml:space="preserve">When CSSF optimization feature is enabled, </w:t>
            </w:r>
            <w:r>
              <w:rPr>
                <w:color w:val="000000"/>
              </w:rPr>
              <w:t xml:space="preserve">UE only performs the serving and intra-frequency neighbor measurement on the indicated SCC per band. </w:t>
            </w:r>
          </w:p>
          <w:p w14:paraId="5F3DE918">
            <w:pPr>
              <w:pStyle w:val="9"/>
              <w:numPr>
                <w:ilvl w:val="0"/>
                <w:numId w:val="7"/>
              </w:numPr>
              <w:rPr>
                <w:rFonts w:eastAsia="宋体" w:cs="Arial"/>
              </w:rPr>
            </w:pPr>
            <w:r>
              <w:rPr>
                <w:rFonts w:eastAsia="宋体" w:cs="Arial"/>
              </w:rPr>
              <w:t xml:space="preserve">Alternative 2: No additional RRC signaling is needed.  </w:t>
            </w:r>
          </w:p>
          <w:p w14:paraId="6808E01F">
            <w:pPr>
              <w:pStyle w:val="9"/>
              <w:numPr>
                <w:ilvl w:val="1"/>
                <w:numId w:val="7"/>
              </w:numPr>
              <w:rPr>
                <w:rFonts w:eastAsia="宋体" w:cs="Arial"/>
              </w:rPr>
            </w:pPr>
            <w:r>
              <w:rPr>
                <w:rFonts w:eastAsia="宋体" w:cs="Arial"/>
              </w:rPr>
              <w:t xml:space="preserve">When CSSF optimization feature is enabled, UE </w:t>
            </w:r>
            <w:r>
              <w:rPr>
                <w:rFonts w:eastAsia="Times New Roman"/>
                <w:color w:val="000000"/>
              </w:rPr>
              <w:t>follows the existing RAN4 rule (defined in clause 9.2.3.2 of TS 38.133) below to select the SCC to perform both serving and intra-frequency neighbor measurement.</w:t>
            </w:r>
          </w:p>
          <w:tbl>
            <w:tblPr>
              <w:tblStyle w:val="18"/>
              <w:tblW w:w="0" w:type="auto"/>
              <w:tblInd w:w="14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7848"/>
            </w:tblGrid>
            <w:tr w14:paraId="16B8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CellMar>
                  <w:top w:w="0" w:type="dxa"/>
                  <w:left w:w="108" w:type="dxa"/>
                  <w:bottom w:w="0" w:type="dxa"/>
                  <w:right w:w="108" w:type="dxa"/>
                </w:tblCellMar>
              </w:tblPrEx>
              <w:tc>
                <w:tcPr>
                  <w:tcW w:w="9855" w:type="dxa"/>
                  <w:shd w:val="clear" w:color="auto" w:fill="F1F1F1" w:themeFill="background1" w:themeFillShade="F2"/>
                </w:tcPr>
                <w:p w14:paraId="3C65569E">
                  <w:pPr>
                    <w:pStyle w:val="31"/>
                    <w:rPr>
                      <w:rFonts w:ascii="Arial" w:hAnsi="Arial" w:eastAsia="Times New Roman" w:cs="Arial"/>
                      <w:sz w:val="24"/>
                      <w:szCs w:val="24"/>
                    </w:rPr>
                  </w:pPr>
                  <w:r>
                    <w:rPr>
                      <w:rFonts w:ascii="Arial" w:hAnsi="Arial" w:cs="Arial"/>
                    </w:rPr>
                    <w:t>-</w:t>
                  </w:r>
                  <w:r>
                    <w:rPr>
                      <w:rFonts w:ascii="Arial" w:hAnsi="Arial" w:cs="Arial"/>
                    </w:rPr>
                    <w:tab/>
                  </w:r>
                  <w:r>
                    <w:rPr>
                      <w:rFonts w:ascii="Arial" w:hAnsi="Arial" w:cs="Arial"/>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30D1E548">
            <w:pPr>
              <w:pStyle w:val="9"/>
              <w:rPr>
                <w:rFonts w:eastAsia="宋体"/>
              </w:rPr>
            </w:pPr>
            <w:r>
              <w:rPr>
                <w:rFonts w:eastAsia="宋体"/>
              </w:rPr>
              <w:t>Majority’s</w:t>
            </w:r>
            <w:r>
              <w:rPr>
                <w:rFonts w:hint="eastAsia" w:eastAsia="宋体"/>
              </w:rPr>
              <w:t xml:space="preserve"> view in </w:t>
            </w:r>
            <w:r>
              <w:rPr>
                <w:rFonts w:eastAsia="宋体"/>
              </w:rPr>
              <w:t>RAN2 is</w:t>
            </w:r>
            <w:r>
              <w:rPr>
                <w:rFonts w:hint="eastAsia" w:eastAsia="宋体"/>
              </w:rPr>
              <w:t xml:space="preserve"> </w:t>
            </w:r>
            <w:r>
              <w:rPr>
                <w:rFonts w:eastAsia="宋体"/>
              </w:rPr>
              <w:t>Alternative</w:t>
            </w:r>
            <w:r>
              <w:rPr>
                <w:rFonts w:hint="eastAsia" w:eastAsia="宋体"/>
              </w:rPr>
              <w:t xml:space="preserve"> 2</w:t>
            </w:r>
            <w:r>
              <w:rPr>
                <w:rFonts w:eastAsia="宋体"/>
              </w:rPr>
              <w:t xml:space="preserve">, but RAN2 did not reach a consensus. </w:t>
            </w:r>
          </w:p>
          <w:p w14:paraId="728098CA">
            <w:pPr>
              <w:pStyle w:val="9"/>
              <w:rPr>
                <w:rFonts w:hint="default" w:eastAsia="宋体"/>
                <w:lang w:val="en-US" w:eastAsia="zh-CN"/>
              </w:rPr>
            </w:pPr>
            <w:r>
              <w:rPr>
                <w:rFonts w:eastAsia="宋体"/>
              </w:rPr>
              <w:t>Therefore, RAN2 would like to ask RAN4 to decide which alternative to adopt for SCC indication and provide feedback during August meeting so that RAN2 can prepare the RRC CR for approval in August meeting.</w:t>
            </w:r>
          </w:p>
        </w:tc>
      </w:tr>
    </w:tbl>
    <w:p w14:paraId="68603A24">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RAN4 decision is requested by RAN2 in this meeting. </w:t>
      </w:r>
    </w:p>
    <w:p w14:paraId="06872BEE">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From our perspective of view, since the signaling design is RAN2 expertise, and they have already provide their majority view, we would like to follow Alternative 2 provided by RAN2, i.e. not introduce explicit bit to indicate prioritized SCC, implement this via reporting configuration, NW only configures reporting for one SCC if NW expects UE to prioritize this SCC.</w:t>
      </w:r>
    </w:p>
    <w:p w14:paraId="346E4BC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 Regarding the exact signaling design in terms of the NW indication, follow the alternative 2 provided by RAN2 LS, i.e. not introduce explicit NW indication bit. </w:t>
      </w:r>
    </w:p>
    <w:p w14:paraId="335E985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Based on such implicit NW indication, the previous RAN4 agreements need some revision as well as the endorsed CR.</w:t>
      </w:r>
    </w:p>
    <w:p w14:paraId="24D182C9">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The previous RAN4 agreements need some revision to align with the Alternative 2 provided in RAN2 LS. </w:t>
      </w:r>
    </w:p>
    <w:p w14:paraId="2917EDC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p>
    <w:p w14:paraId="12BF3BE3">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lang w:val="en-US" w:eastAsia="zh-CN"/>
        </w:rPr>
      </w:pPr>
      <w:r>
        <w:rPr>
          <w:rFonts w:hint="eastAsia"/>
          <w:u w:val="single"/>
          <w:lang w:val="en-US" w:eastAsia="zh-CN"/>
        </w:rPr>
        <w:t>Expand solution 1 to FR1 case</w:t>
      </w:r>
    </w:p>
    <w:p w14:paraId="63F452F8">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Around the extension of solution 1 to FR1 case, some companies show concern in last meeting since picking one CC to represent the whole band in FR1 is a bit risky. In FR1, due to omni-antenna assumption at UE side, the interference is more severe than what it is in FR2. It is clearly captured that </w:t>
      </w:r>
      <w:r>
        <w:rPr>
          <w:rFonts w:hint="default" w:cs="Arial"/>
          <w:lang w:val="en-US" w:eastAsia="zh-CN"/>
        </w:rPr>
        <w:t>“For intra-band contiguous CA, only co-located deployment is applied”</w:t>
      </w:r>
      <w:r>
        <w:rPr>
          <w:rFonts w:hint="eastAsia" w:cs="Arial"/>
          <w:lang w:val="en-US" w:eastAsia="zh-CN"/>
        </w:rPr>
        <w:t xml:space="preserve"> in Clause 7.6.4 of TS 38.133. For the co-located PCell/SCells, only pick one serving cell to measure could benefit the measurement latency and UE power saving. But whether it is co-located between neighbour cells at PCC/SCCs, it is unknown and uncertain event at the NW side. So we should be cautious on the neighbour cell measurement reduction.</w:t>
      </w:r>
    </w:p>
    <w:p w14:paraId="20A972E1">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3: For serving cell measurement, expand the solution 1 to FR1 intra-band contiguous CA(co-located deployment), i.e., measure one serving cell per FR1 band if all to-be-measured serving cells in this FR1 band are contiguous.</w:t>
      </w:r>
    </w:p>
    <w:p w14:paraId="37E2317E">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For neighbour cell measurement, since whether co-located deployment between neighbour cells is uncertain, need further discussion. </w:t>
      </w:r>
    </w:p>
    <w:p w14:paraId="6B8C5E6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Another suspending point is whether the NW configuration on enable/disable solution 1 is per FR or per band. It seems per FR is enough.</w:t>
      </w:r>
    </w:p>
    <w:p w14:paraId="1C13E00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4: NW configuration on enable/disable solution 1 is per FR type.</w:t>
      </w:r>
    </w:p>
    <w:p w14:paraId="3F8EADB2">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p>
    <w:p w14:paraId="12F3609A">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b/>
          <w:bCs/>
          <w:lang w:val="en-US" w:eastAsia="zh-CN"/>
        </w:rPr>
      </w:pPr>
      <w:r>
        <w:rPr>
          <w:rFonts w:hint="eastAsia"/>
          <w:u w:val="single"/>
          <w:lang w:val="en-US" w:eastAsia="zh-CN"/>
        </w:rPr>
        <w:t>UE capability for solution 1</w:t>
      </w:r>
    </w:p>
    <w:p w14:paraId="589ADCB3">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Whether the relevant UE capability is per UE type or per band type, which is still suspending. We prefer per UE type since we can not see difference between different band from the perspective of UE implementation. Whether to enable/disable this feature  </w:t>
      </w:r>
    </w:p>
    <w:p w14:paraId="2098BC4A">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UE capability of solution 1 is per FR type.</w:t>
      </w:r>
    </w:p>
    <w:p w14:paraId="79557AC9">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cs="Arial"/>
          <w:lang w:val="en-US" w:eastAsia="zh-CN"/>
        </w:rPr>
      </w:pPr>
    </w:p>
    <w:p w14:paraId="3242D291">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2F5A0E13">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3155405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 Regarding the exact signaling design in terms of the NW indication, follow the alternative 2 provided by RAN2 LS, i.e. not introduce explicit NW indication bit. </w:t>
      </w:r>
    </w:p>
    <w:p w14:paraId="7D4F20B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2: The previous RAN4 agreements need some revision to align with the Alternative 2 provided in RAN2 LS. </w:t>
      </w:r>
    </w:p>
    <w:p w14:paraId="7795E36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3: For serving cell measurement, expand the solution 1 to FR1 intra-band contiguous CA(co-located deployment), i.e., measure one serving cell per FR1 band if all to-be-measured serving cells in this FR1 band are contiguous.</w:t>
      </w:r>
    </w:p>
    <w:p w14:paraId="650D332D">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For neighbour cell measurement, since whether co-located deployment between neighbour cells is uncertain, need further discussion. </w:t>
      </w:r>
    </w:p>
    <w:p w14:paraId="66E24525">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4: NW configuration on enable/disable solution 1 is per FR type.</w:t>
      </w:r>
    </w:p>
    <w:p w14:paraId="14BB3AB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5: UE capability of solution 1 is per FR type.</w:t>
      </w:r>
    </w:p>
    <w:p w14:paraId="6A50B214">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312B98F">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R4-2508264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 RAN4#115 meeting</w:t>
      </w:r>
    </w:p>
    <w:p w14:paraId="224041EE">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R2-2504728 </w:t>
      </w:r>
      <w:r>
        <w:rPr>
          <w:rFonts w:hint="default"/>
          <w:color w:val="auto"/>
          <w:sz w:val="20"/>
          <w:szCs w:val="20"/>
          <w:highlight w:val="none"/>
          <w:lang w:val="en-US" w:eastAsia="zh-CN"/>
        </w:rPr>
        <w:t>“Reply LS on CSSF optimization for NR RRM Phase 5”</w:t>
      </w:r>
      <w:r>
        <w:rPr>
          <w:rFonts w:hint="eastAsia"/>
          <w:color w:val="auto"/>
          <w:sz w:val="20"/>
          <w:szCs w:val="20"/>
          <w:highlight w:val="none"/>
          <w:lang w:val="en-US" w:eastAsia="zh-CN"/>
        </w:rPr>
        <w:t>, Apple, RAN4#130 meeting</w:t>
      </w:r>
    </w:p>
    <w:p w14:paraId="19F211F2">
      <w:pPr>
        <w:pStyle w:val="10"/>
        <w:numPr>
          <w:ilvl w:val="0"/>
          <w:numId w:val="0"/>
        </w:numPr>
        <w:ind w:leftChars="0"/>
        <w:rPr>
          <w:rFonts w:hint="eastAsia"/>
          <w:color w:val="auto"/>
          <w:sz w:val="20"/>
          <w:szCs w:val="20"/>
          <w:highlight w:val="none"/>
          <w:lang w:val="en-US" w:eastAsia="zh-CN"/>
        </w:rPr>
      </w:pPr>
    </w:p>
    <w:p w14:paraId="4BADF420">
      <w:pPr>
        <w:pStyle w:val="10"/>
        <w:numPr>
          <w:ilvl w:val="0"/>
          <w:numId w:val="0"/>
        </w:numPr>
        <w:ind w:leftChars="0"/>
        <w:rPr>
          <w:rFonts w:hint="eastAsia"/>
          <w:color w:val="auto"/>
          <w:sz w:val="20"/>
          <w:szCs w:val="20"/>
          <w:highlight w:val="none"/>
          <w:lang w:val="en-US" w:eastAsia="zh-CN"/>
        </w:rPr>
      </w:pPr>
    </w:p>
    <w:p w14:paraId="082BF597">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65334">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575726"/>
    <w:multiLevelType w:val="multilevel"/>
    <w:tmpl w:val="5B575726"/>
    <w:lvl w:ilvl="0" w:tentative="0">
      <w:start w:val="1"/>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4"/>
  </w:num>
  <w:num w:numId="3">
    <w:abstractNumId w:val="3"/>
  </w:num>
  <w:num w:numId="4">
    <w:abstractNumId w:val="5"/>
  </w:num>
  <w:num w:numId="5">
    <w:abstractNumId w:val="2"/>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5772"/>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6C796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6741C"/>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E590B"/>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CF87343"/>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BD1489"/>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2F463A8"/>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43190"/>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1F35"/>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40DCE"/>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73AD9"/>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B05CAC"/>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32169"/>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4147B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0A6393"/>
    <w:rsid w:val="2B1240C7"/>
    <w:rsid w:val="2B1642DE"/>
    <w:rsid w:val="2B177F55"/>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1F52C38"/>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46B3E"/>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065CC0"/>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B573E0"/>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6A2D03"/>
    <w:rsid w:val="3E704C35"/>
    <w:rsid w:val="3E7316CB"/>
    <w:rsid w:val="3E771FD5"/>
    <w:rsid w:val="3E832F5F"/>
    <w:rsid w:val="3E83729F"/>
    <w:rsid w:val="3EA35B23"/>
    <w:rsid w:val="3EAF44FF"/>
    <w:rsid w:val="3EB06BA3"/>
    <w:rsid w:val="3ED5235A"/>
    <w:rsid w:val="3EDA5340"/>
    <w:rsid w:val="3EDB78F9"/>
    <w:rsid w:val="3F0C6E47"/>
    <w:rsid w:val="3F0D28A6"/>
    <w:rsid w:val="3F0E7052"/>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1E2BF4"/>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F3443"/>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0D7D"/>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316C99"/>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DFB41C2"/>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762F3F"/>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264119"/>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A65125"/>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3275F"/>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3E4689"/>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2025-08-15T09:16:30Z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